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1.xml" ContentType="application/vnd.openxmlformats-officedocument.theme+xml"/>
  <Override PartName="/word/charts/colors2.xml" ContentType="application/vnd.ms-office.chartcolorstyle+xml"/>
  <Override PartName="/word/charts/style2.xml" ContentType="application/vnd.ms-office.chart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2F55E" w14:textId="285B2375" w:rsidR="00E72486" w:rsidRDefault="00E72486" w:rsidP="00E72486">
      <w:pPr>
        <w:jc w:val="center"/>
        <w:rPr>
          <w:rFonts w:ascii="Garamond" w:eastAsia="Calibri" w:hAnsi="Garamond" w:cstheme="minorHAnsi"/>
          <w:b/>
          <w:noProof/>
          <w:color w:val="000000"/>
          <w:sz w:val="48"/>
          <w:szCs w:val="48"/>
          <w:lang w:eastAsia="en-CA"/>
        </w:rPr>
      </w:pPr>
      <w:r w:rsidRPr="00922952">
        <w:rPr>
          <w:rFonts w:ascii="Garamond" w:hAnsi="Garamond"/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659264" behindDoc="1" locked="0" layoutInCell="1" allowOverlap="1" wp14:anchorId="366B4960" wp14:editId="4CEAB99F">
            <wp:simplePos x="0" y="0"/>
            <wp:positionH relativeFrom="margin">
              <wp:align>left</wp:align>
            </wp:positionH>
            <wp:positionV relativeFrom="paragraph">
              <wp:posOffset>13195</wp:posOffset>
            </wp:positionV>
            <wp:extent cx="798830" cy="798830"/>
            <wp:effectExtent l="0" t="0" r="1270" b="1270"/>
            <wp:wrapThrough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952">
        <w:rPr>
          <w:rFonts w:ascii="Garamond" w:hAnsi="Garamond"/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660288" behindDoc="1" locked="0" layoutInCell="1" allowOverlap="1" wp14:anchorId="63DFE91E" wp14:editId="1FFF145E">
            <wp:simplePos x="0" y="0"/>
            <wp:positionH relativeFrom="margin">
              <wp:align>right</wp:align>
            </wp:positionH>
            <wp:positionV relativeFrom="paragraph">
              <wp:posOffset>13318</wp:posOffset>
            </wp:positionV>
            <wp:extent cx="1056302" cy="735099"/>
            <wp:effectExtent l="0" t="0" r="0" b="8255"/>
            <wp:wrapThrough wrapText="bothSides">
              <wp:wrapPolygon edited="0">
                <wp:start x="0" y="0"/>
                <wp:lineTo x="0" y="21283"/>
                <wp:lineTo x="21041" y="21283"/>
                <wp:lineTo x="2104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02" cy="73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952">
        <w:rPr>
          <w:rFonts w:ascii="Garamond" w:eastAsia="Calibri" w:hAnsi="Garamond" w:cstheme="minorHAnsi"/>
          <w:b/>
          <w:noProof/>
          <w:color w:val="000000"/>
          <w:sz w:val="48"/>
          <w:szCs w:val="48"/>
          <w:lang w:eastAsia="en-CA"/>
        </w:rPr>
        <w:t>Jaffray Elementary Junior Secondary</w:t>
      </w:r>
    </w:p>
    <w:p w14:paraId="21D507BB" w14:textId="4DE25D00" w:rsidR="00947AAE" w:rsidRPr="00F24938" w:rsidRDefault="00942A70" w:rsidP="00F24938">
      <w:pPr>
        <w:jc w:val="center"/>
        <w:rPr>
          <w:rFonts w:ascii="Garamond" w:eastAsia="Calibri" w:hAnsi="Garamond" w:cstheme="minorHAnsi"/>
          <w:b/>
          <w:noProof/>
          <w:color w:val="000000"/>
          <w:sz w:val="48"/>
          <w:szCs w:val="48"/>
          <w:lang w:eastAsia="en-CA"/>
        </w:rPr>
      </w:pPr>
      <w:r>
        <w:rPr>
          <w:rFonts w:ascii="Garamond" w:eastAsia="Calibri" w:hAnsi="Garamond" w:cstheme="minorHAnsi"/>
          <w:b/>
          <w:noProof/>
          <w:color w:val="000000"/>
          <w:sz w:val="48"/>
          <w:szCs w:val="48"/>
          <w:lang w:eastAsia="en-CA"/>
        </w:rPr>
        <w:t>2021-2022</w:t>
      </w:r>
    </w:p>
    <w:p w14:paraId="3E3FF9E6" w14:textId="322B09CB" w:rsidR="00E72486" w:rsidRDefault="00F24938" w:rsidP="00947AAE">
      <w:pPr>
        <w:rPr>
          <w:rFonts w:cstheme="minorHAnsi"/>
          <w:sz w:val="28"/>
          <w:szCs w:val="28"/>
          <w:lang w:val="en-US" w:eastAsia="en-CA"/>
        </w:rPr>
      </w:pPr>
      <w:r w:rsidRPr="00F24938">
        <w:rPr>
          <w:rFonts w:cstheme="minorHAnsi"/>
          <w:b/>
          <w:sz w:val="28"/>
          <w:szCs w:val="28"/>
          <w:lang w:val="en-US" w:eastAsia="en-CA"/>
        </w:rPr>
        <w:t>Vision/Mission:</w:t>
      </w:r>
    </w:p>
    <w:p w14:paraId="3823821E" w14:textId="57FE5818" w:rsidR="00F24938" w:rsidRPr="00F24938" w:rsidRDefault="00F24938" w:rsidP="00947AAE">
      <w:pPr>
        <w:rPr>
          <w:rFonts w:cstheme="minorHAnsi"/>
          <w:sz w:val="24"/>
          <w:szCs w:val="24"/>
          <w:lang w:val="en-US" w:eastAsia="en-CA"/>
        </w:rPr>
      </w:pPr>
      <w:r>
        <w:rPr>
          <w:rFonts w:cstheme="minorHAnsi"/>
          <w:sz w:val="24"/>
          <w:szCs w:val="24"/>
          <w:lang w:val="en-US" w:eastAsia="en-CA"/>
        </w:rPr>
        <w:t xml:space="preserve">Growth, success and confidence </w:t>
      </w:r>
      <w:r w:rsidRPr="00F24938">
        <w:rPr>
          <w:rFonts w:cstheme="minorHAnsi"/>
          <w:sz w:val="24"/>
          <w:szCs w:val="24"/>
          <w:lang w:val="en-US" w:eastAsia="en-CA"/>
        </w:rPr>
        <w:t>through the collaboration of students, staff and our community.</w:t>
      </w:r>
    </w:p>
    <w:p w14:paraId="4570A14D" w14:textId="0E9E2433" w:rsidR="00E72486" w:rsidRPr="00E72486" w:rsidRDefault="00E72486" w:rsidP="00947AAE">
      <w:pPr>
        <w:rPr>
          <w:rFonts w:cstheme="minorHAnsi"/>
          <w:b/>
          <w:sz w:val="28"/>
          <w:szCs w:val="28"/>
          <w:lang w:val="en-US" w:eastAsia="en-CA"/>
        </w:rPr>
      </w:pPr>
      <w:r w:rsidRPr="00E72486">
        <w:rPr>
          <w:rFonts w:cstheme="minorHAnsi"/>
          <w:b/>
          <w:sz w:val="28"/>
          <w:szCs w:val="28"/>
          <w:lang w:val="en-US" w:eastAsia="en-CA"/>
        </w:rPr>
        <w:t>Educational Outcome:</w:t>
      </w:r>
    </w:p>
    <w:p w14:paraId="0B937C18" w14:textId="0737C868" w:rsidR="00F24938" w:rsidRPr="00E72486" w:rsidRDefault="0010408D" w:rsidP="00947AAE">
      <w:pPr>
        <w:rPr>
          <w:rFonts w:cstheme="minorHAnsi"/>
          <w:sz w:val="24"/>
          <w:szCs w:val="24"/>
          <w:lang w:val="en-US" w:eastAsia="en-CA"/>
        </w:rPr>
      </w:pPr>
      <w:r>
        <w:rPr>
          <w:rFonts w:cstheme="minorHAnsi"/>
          <w:sz w:val="24"/>
          <w:szCs w:val="24"/>
          <w:lang w:val="en-US" w:eastAsia="en-CA"/>
        </w:rPr>
        <w:t>To improve student</w:t>
      </w:r>
      <w:r w:rsidR="00033B01">
        <w:rPr>
          <w:rFonts w:cstheme="minorHAnsi"/>
          <w:sz w:val="24"/>
          <w:szCs w:val="24"/>
          <w:lang w:val="en-US" w:eastAsia="en-CA"/>
        </w:rPr>
        <w:t>s</w:t>
      </w:r>
      <w:r>
        <w:rPr>
          <w:rFonts w:cstheme="minorHAnsi"/>
          <w:sz w:val="24"/>
          <w:szCs w:val="24"/>
          <w:lang w:val="en-US" w:eastAsia="en-CA"/>
        </w:rPr>
        <w:t>’</w:t>
      </w:r>
      <w:r w:rsidR="00033B01">
        <w:rPr>
          <w:rFonts w:cstheme="minorHAnsi"/>
          <w:sz w:val="24"/>
          <w:szCs w:val="24"/>
          <w:lang w:val="en-US" w:eastAsia="en-CA"/>
        </w:rPr>
        <w:t xml:space="preserve"> skills and confidence in numeracy</w:t>
      </w:r>
      <w:r>
        <w:rPr>
          <w:rFonts w:cstheme="minorHAnsi"/>
          <w:sz w:val="24"/>
          <w:szCs w:val="24"/>
          <w:lang w:val="en-US" w:eastAsia="en-CA"/>
        </w:rPr>
        <w:t>.</w:t>
      </w:r>
      <w:r w:rsidR="00F24938">
        <w:rPr>
          <w:rFonts w:cstheme="minorHAnsi"/>
          <w:sz w:val="24"/>
          <w:szCs w:val="24"/>
          <w:lang w:val="en-US" w:eastAsia="en-CA"/>
        </w:rPr>
        <w:t xml:space="preserve"> </w:t>
      </w:r>
      <w:r w:rsidR="00E747A0">
        <w:rPr>
          <w:rFonts w:cstheme="minorHAnsi"/>
          <w:sz w:val="24"/>
          <w:szCs w:val="24"/>
          <w:lang w:val="en-US" w:eastAsia="en-CA"/>
        </w:rPr>
        <w:t>The development of a</w:t>
      </w:r>
      <w:r w:rsidR="00F24938">
        <w:rPr>
          <w:rFonts w:cstheme="minorHAnsi"/>
          <w:sz w:val="24"/>
          <w:szCs w:val="24"/>
          <w:lang w:val="en-US" w:eastAsia="en-CA"/>
        </w:rPr>
        <w:t xml:space="preserve"> continuum of learning across grade levels with a common assessment to guide learning. Confidence and skills in numeracy allow our students to be successful as they transition </w:t>
      </w:r>
      <w:r w:rsidR="00E747A0">
        <w:rPr>
          <w:rFonts w:cstheme="minorHAnsi"/>
          <w:sz w:val="24"/>
          <w:szCs w:val="24"/>
          <w:lang w:val="en-US" w:eastAsia="en-CA"/>
        </w:rPr>
        <w:t>in</w:t>
      </w:r>
      <w:r w:rsidR="00F24938">
        <w:rPr>
          <w:rFonts w:cstheme="minorHAnsi"/>
          <w:sz w:val="24"/>
          <w:szCs w:val="24"/>
          <w:lang w:val="en-US" w:eastAsia="en-CA"/>
        </w:rPr>
        <w:t xml:space="preserve">to the workplace or </w:t>
      </w:r>
      <w:r w:rsidR="0070199B">
        <w:rPr>
          <w:rFonts w:cstheme="minorHAnsi"/>
          <w:sz w:val="24"/>
          <w:szCs w:val="24"/>
          <w:lang w:val="en-US" w:eastAsia="en-CA"/>
        </w:rPr>
        <w:t>post-secondary</w:t>
      </w:r>
      <w:r w:rsidR="00F24938">
        <w:rPr>
          <w:rFonts w:cstheme="minorHAnsi"/>
          <w:sz w:val="24"/>
          <w:szCs w:val="24"/>
          <w:lang w:val="en-US" w:eastAsia="en-CA"/>
        </w:rPr>
        <w:t xml:space="preserve"> education.</w:t>
      </w:r>
    </w:p>
    <w:p w14:paraId="305508D2" w14:textId="5FD55A38" w:rsidR="00E72486" w:rsidRDefault="00E72486" w:rsidP="00E72486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eastAsia="en-CA"/>
        </w:rPr>
      </w:pPr>
      <w:r w:rsidRPr="00E72486">
        <w:rPr>
          <w:rFonts w:cstheme="minorHAnsi"/>
          <w:b/>
          <w:color w:val="000000" w:themeColor="text1"/>
          <w:kern w:val="24"/>
          <w:sz w:val="28"/>
          <w:szCs w:val="28"/>
          <w:lang w:eastAsia="en-CA"/>
        </w:rPr>
        <w:t>Objective:</w:t>
      </w:r>
    </w:p>
    <w:p w14:paraId="16F30F0E" w14:textId="1FB6AE95" w:rsidR="00E72486" w:rsidRDefault="00E72486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eastAsia="en-CA"/>
        </w:rPr>
      </w:pPr>
    </w:p>
    <w:p w14:paraId="5FBAE915" w14:textId="5E6FCE56" w:rsidR="0010408D" w:rsidRDefault="00C254F9" w:rsidP="0010408D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proofErr w:type="gramStart"/>
      <w:r>
        <w:rPr>
          <w:rFonts w:cstheme="minorHAnsi"/>
          <w:sz w:val="24"/>
          <w:szCs w:val="24"/>
          <w:lang w:val="en-US" w:eastAsia="en-CA"/>
        </w:rPr>
        <w:t>70%</w:t>
      </w:r>
      <w:proofErr w:type="gramEnd"/>
      <w:r>
        <w:rPr>
          <w:rFonts w:cstheme="minorHAnsi"/>
          <w:sz w:val="24"/>
          <w:szCs w:val="24"/>
          <w:lang w:val="en-US" w:eastAsia="en-CA"/>
        </w:rPr>
        <w:t xml:space="preserve"> of s</w:t>
      </w:r>
      <w:r w:rsidR="00E72486" w:rsidRPr="00E72486">
        <w:rPr>
          <w:rFonts w:cstheme="minorHAnsi"/>
          <w:sz w:val="24"/>
          <w:szCs w:val="24"/>
          <w:lang w:val="en-US" w:eastAsia="en-CA"/>
        </w:rPr>
        <w:t xml:space="preserve">tudents will </w:t>
      </w:r>
      <w:r w:rsidR="0010408D">
        <w:rPr>
          <w:rFonts w:cstheme="minorHAnsi"/>
          <w:sz w:val="24"/>
          <w:szCs w:val="24"/>
          <w:lang w:val="en-US" w:eastAsia="en-CA"/>
        </w:rPr>
        <w:t>be proficient or extending in</w:t>
      </w:r>
      <w:r w:rsidR="00E72486" w:rsidRPr="00E72486">
        <w:rPr>
          <w:rFonts w:cstheme="minorHAnsi"/>
          <w:sz w:val="24"/>
          <w:szCs w:val="24"/>
          <w:lang w:val="en-US" w:eastAsia="en-CA"/>
        </w:rPr>
        <w:t xml:space="preserve"> numeracy expectations for each grade level</w:t>
      </w:r>
      <w:r w:rsidR="0010408D">
        <w:rPr>
          <w:rFonts w:cstheme="minorHAnsi"/>
          <w:sz w:val="24"/>
          <w:szCs w:val="24"/>
          <w:lang w:val="en-US" w:eastAsia="en-CA"/>
        </w:rPr>
        <w:t xml:space="preserve"> as reported </w:t>
      </w:r>
      <w:r w:rsidR="0010408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by teachers on the students’ year-end summative progress report.  </w:t>
      </w:r>
    </w:p>
    <w:p w14:paraId="4ACED260" w14:textId="479B0B7D" w:rsidR="00C254F9" w:rsidRPr="00E72486" w:rsidRDefault="00C254F9" w:rsidP="00E72486">
      <w:pPr>
        <w:rPr>
          <w:rFonts w:cstheme="minorHAnsi"/>
          <w:sz w:val="24"/>
          <w:szCs w:val="24"/>
          <w:lang w:val="en-US" w:eastAsia="en-CA"/>
        </w:rPr>
      </w:pPr>
    </w:p>
    <w:p w14:paraId="3E544EB0" w14:textId="56A10ECC" w:rsidR="00E72486" w:rsidRDefault="00E72486" w:rsidP="00E72486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  <w:r w:rsidRPr="00E72486"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  <w:t>Target</w:t>
      </w:r>
      <w:r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  <w:t>:</w:t>
      </w:r>
    </w:p>
    <w:p w14:paraId="55FC7DBF" w14:textId="77777777" w:rsidR="00C254F9" w:rsidRDefault="00C254F9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4FB03263" w14:textId="3921F56F" w:rsidR="00E72486" w:rsidRDefault="00033B01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To increase numeracy results for s</w:t>
      </w:r>
      <w:r w:rsidR="00E72486" w:rsidRPr="00E72486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tudents in </w:t>
      </w:r>
      <w:r w:rsidR="0010408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G</w:t>
      </w:r>
      <w:r w:rsidR="00E72486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rade 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3 and 4 through targeted </w:t>
      </w:r>
      <w:r w:rsidR="00E747A0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professional development focused on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strategies and skills for teaching numeracy.</w:t>
      </w:r>
      <w:r w:rsidR="0070199B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Grade 3 and 4 teachers will have access to </w:t>
      </w:r>
      <w:proofErr w:type="spellStart"/>
      <w:r w:rsidR="0070199B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Mathology</w:t>
      </w:r>
      <w:proofErr w:type="spellEnd"/>
      <w:r w:rsidR="0070199B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, </w:t>
      </w:r>
      <w:r w:rsidR="00F772B9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Math Place</w:t>
      </w:r>
      <w:r w:rsidR="00B03C09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, and </w:t>
      </w:r>
      <w:r w:rsidR="00F772B9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teacher collaboration</w:t>
      </w:r>
      <w:bookmarkStart w:id="0" w:name="_GoBack"/>
      <w:bookmarkEnd w:id="0"/>
      <w:r w:rsidR="00B03C09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time.</w:t>
      </w:r>
    </w:p>
    <w:p w14:paraId="3B5B5FFD" w14:textId="74A99BBA" w:rsidR="00C254F9" w:rsidRDefault="00C254F9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After targeted numeracy </w:t>
      </w:r>
      <w:r w:rsidR="0010408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support, our students in Gr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ade 3 and 4 will show a 10% improvement on their numeracy score as reported by teachers on </w:t>
      </w:r>
      <w:r w:rsidR="0010408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the students’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</w:t>
      </w:r>
      <w:r w:rsidR="0010408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year-end summative progress report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.  </w:t>
      </w:r>
    </w:p>
    <w:p w14:paraId="306715B1" w14:textId="7DB7E9FC" w:rsidR="00033B01" w:rsidRDefault="00033B01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1752181D" w14:textId="268CB91B" w:rsidR="00F24938" w:rsidRDefault="00F24938" w:rsidP="00E72486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  <w:r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  <w:t>Rationale:</w:t>
      </w:r>
    </w:p>
    <w:p w14:paraId="7FA61300" w14:textId="4476A480" w:rsidR="00F24938" w:rsidRDefault="00F24938" w:rsidP="00E72486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334AA1DE" w14:textId="7428CF04" w:rsidR="008821C1" w:rsidRPr="00F24938" w:rsidRDefault="00F24938" w:rsidP="00F2493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F24938">
        <w:rPr>
          <w:rFonts w:eastAsia="Times New Roman" w:cstheme="minorHAnsi"/>
          <w:sz w:val="24"/>
          <w:szCs w:val="24"/>
          <w:lang w:eastAsia="en-CA"/>
        </w:rPr>
        <w:t>Based on school data and FSA data we have determined that nu</w:t>
      </w:r>
      <w:r w:rsidR="00E747A0">
        <w:rPr>
          <w:rFonts w:eastAsia="Times New Roman" w:cstheme="minorHAnsi"/>
          <w:sz w:val="24"/>
          <w:szCs w:val="24"/>
          <w:lang w:eastAsia="en-CA"/>
        </w:rPr>
        <w:t>meracy should be our focus area</w:t>
      </w:r>
      <w:r w:rsidRPr="00F24938">
        <w:rPr>
          <w:rFonts w:eastAsia="Times New Roman" w:cstheme="minorHAnsi"/>
          <w:sz w:val="24"/>
          <w:szCs w:val="24"/>
          <w:lang w:eastAsia="en-CA"/>
        </w:rPr>
        <w:t xml:space="preserve"> following our success in our literacy goals in previous years.</w:t>
      </w:r>
      <w:r w:rsidR="00E747A0">
        <w:rPr>
          <w:rFonts w:eastAsia="Times New Roman" w:cstheme="minorHAnsi"/>
          <w:sz w:val="24"/>
          <w:szCs w:val="24"/>
          <w:lang w:eastAsia="en-CA"/>
        </w:rPr>
        <w:t xml:space="preserve">  </w:t>
      </w:r>
      <w:r>
        <w:rPr>
          <w:rFonts w:eastAsia="Times New Roman" w:cstheme="minorHAnsi"/>
          <w:sz w:val="24"/>
          <w:szCs w:val="24"/>
          <w:lang w:eastAsia="en-CA"/>
        </w:rPr>
        <w:t>Teachers explored the FSA results following their release and determined that numeracy results indicated a need for further development.</w:t>
      </w:r>
      <w:r w:rsidR="00E747A0">
        <w:rPr>
          <w:rFonts w:eastAsia="Times New Roman" w:cstheme="minorHAnsi"/>
          <w:sz w:val="24"/>
          <w:szCs w:val="24"/>
          <w:lang w:eastAsia="en-CA"/>
        </w:rPr>
        <w:t xml:space="preserve">  </w:t>
      </w:r>
      <w:r>
        <w:rPr>
          <w:rFonts w:eastAsia="Times New Roman" w:cstheme="minorHAnsi"/>
          <w:sz w:val="24"/>
          <w:szCs w:val="24"/>
          <w:lang w:eastAsia="en-CA"/>
        </w:rPr>
        <w:t>Our teachers’ year-end summative progress reports mirrored the FSA results, confirming our need to shift focus to numeracy as a school.</w:t>
      </w:r>
      <w:r w:rsidR="00E747A0">
        <w:rPr>
          <w:rFonts w:eastAsia="Times New Roman" w:cstheme="minorHAnsi"/>
          <w:sz w:val="24"/>
          <w:szCs w:val="24"/>
          <w:lang w:eastAsia="en-CA"/>
        </w:rPr>
        <w:t xml:space="preserve">  </w:t>
      </w:r>
      <w:r w:rsidR="008821C1">
        <w:rPr>
          <w:rFonts w:eastAsia="Times New Roman" w:cstheme="minorHAnsi"/>
          <w:sz w:val="24"/>
          <w:szCs w:val="24"/>
          <w:lang w:eastAsia="en-CA"/>
        </w:rPr>
        <w:t xml:space="preserve">Even though our numeracy scores are higher than district average and comparable to provincial results, we feel that </w:t>
      </w:r>
      <w:r w:rsidR="00E747A0">
        <w:rPr>
          <w:rFonts w:eastAsia="Times New Roman" w:cstheme="minorHAnsi"/>
          <w:sz w:val="24"/>
          <w:szCs w:val="24"/>
          <w:lang w:eastAsia="en-CA"/>
        </w:rPr>
        <w:t xml:space="preserve">performance in numeracy </w:t>
      </w:r>
      <w:proofErr w:type="gramStart"/>
      <w:r w:rsidR="00E747A0">
        <w:rPr>
          <w:rFonts w:eastAsia="Times New Roman" w:cstheme="minorHAnsi"/>
          <w:sz w:val="24"/>
          <w:szCs w:val="24"/>
          <w:lang w:eastAsia="en-CA"/>
        </w:rPr>
        <w:t>can be</w:t>
      </w:r>
      <w:r w:rsidR="008821C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E747A0">
        <w:rPr>
          <w:rFonts w:eastAsia="Times New Roman" w:cstheme="minorHAnsi"/>
          <w:sz w:val="24"/>
          <w:szCs w:val="24"/>
          <w:lang w:eastAsia="en-CA"/>
        </w:rPr>
        <w:t xml:space="preserve">further </w:t>
      </w:r>
      <w:r w:rsidR="008821C1">
        <w:rPr>
          <w:rFonts w:eastAsia="Times New Roman" w:cstheme="minorHAnsi"/>
          <w:sz w:val="24"/>
          <w:szCs w:val="24"/>
          <w:lang w:eastAsia="en-CA"/>
        </w:rPr>
        <w:t>improved</w:t>
      </w:r>
      <w:proofErr w:type="gramEnd"/>
      <w:r w:rsidR="008821C1">
        <w:rPr>
          <w:rFonts w:eastAsia="Times New Roman" w:cstheme="minorHAnsi"/>
          <w:sz w:val="24"/>
          <w:szCs w:val="24"/>
          <w:lang w:eastAsia="en-CA"/>
        </w:rPr>
        <w:t>.</w:t>
      </w:r>
      <w:r w:rsidR="00E747A0">
        <w:rPr>
          <w:rFonts w:eastAsia="Times New Roman" w:cstheme="minorHAnsi"/>
          <w:sz w:val="24"/>
          <w:szCs w:val="24"/>
          <w:lang w:eastAsia="en-CA"/>
        </w:rPr>
        <w:t xml:space="preserve">  </w:t>
      </w:r>
      <w:r w:rsidR="00AB75D2">
        <w:rPr>
          <w:rFonts w:eastAsia="Times New Roman" w:cstheme="minorHAnsi"/>
          <w:sz w:val="24"/>
          <w:szCs w:val="24"/>
          <w:lang w:eastAsia="en-CA"/>
        </w:rPr>
        <w:t xml:space="preserve">We wonder if targeted </w:t>
      </w:r>
      <w:r w:rsidR="008821C1">
        <w:rPr>
          <w:rFonts w:eastAsia="Times New Roman" w:cstheme="minorHAnsi"/>
          <w:sz w:val="24"/>
          <w:szCs w:val="24"/>
          <w:lang w:eastAsia="en-CA"/>
        </w:rPr>
        <w:t xml:space="preserve">professional development opportunities </w:t>
      </w:r>
      <w:r w:rsidR="00AB75D2">
        <w:rPr>
          <w:rFonts w:eastAsia="Times New Roman" w:cstheme="minorHAnsi"/>
          <w:sz w:val="24"/>
          <w:szCs w:val="24"/>
          <w:lang w:eastAsia="en-CA"/>
        </w:rPr>
        <w:t>in</w:t>
      </w:r>
      <w:r w:rsidR="00E747A0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AB75D2">
        <w:rPr>
          <w:rFonts w:eastAsia="Times New Roman" w:cstheme="minorHAnsi"/>
          <w:sz w:val="24"/>
          <w:szCs w:val="24"/>
          <w:lang w:eastAsia="en-CA"/>
        </w:rPr>
        <w:t>numeracy for</w:t>
      </w:r>
      <w:r w:rsidR="008821C1">
        <w:rPr>
          <w:rFonts w:eastAsia="Times New Roman" w:cstheme="minorHAnsi"/>
          <w:sz w:val="24"/>
          <w:szCs w:val="24"/>
          <w:lang w:eastAsia="en-CA"/>
        </w:rPr>
        <w:t xml:space="preserve"> all teacher K-10 as well as district targeted professional development for our Grade 3 and 4 teachers will translate to improvement in numeracy results.</w:t>
      </w:r>
    </w:p>
    <w:p w14:paraId="53DC340E" w14:textId="5F944AA1" w:rsidR="0070199B" w:rsidRDefault="0070199B" w:rsidP="00E72486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2D9F0C54" w14:textId="77777777" w:rsidR="0025686E" w:rsidRDefault="0025686E" w:rsidP="00E72486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13985BB7" w14:textId="042C2BF5" w:rsidR="00033B01" w:rsidRPr="00C254F9" w:rsidRDefault="00033B01" w:rsidP="00E72486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  <w:r w:rsidRPr="00C254F9"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  <w:lastRenderedPageBreak/>
        <w:t>Data:</w:t>
      </w:r>
    </w:p>
    <w:p w14:paraId="4FD765E1" w14:textId="77777777" w:rsidR="00C254F9" w:rsidRDefault="00C254F9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5AFDEB9F" w14:textId="712BA3AF" w:rsidR="00C254F9" w:rsidRDefault="00C254F9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As reported on the </w:t>
      </w:r>
      <w:r w:rsidR="0010408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year-end summative progress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report </w:t>
      </w:r>
      <w:r w:rsidR="0010408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for the 2020-2021 school year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, only 6</w:t>
      </w:r>
      <w:r w:rsidR="0010408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0% of our Grade 2 and Grade 3 students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were proficient</w:t>
      </w:r>
      <w:r w:rsidR="0010408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or extending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in numeracy. We would</w:t>
      </w:r>
      <w:r w:rsidR="00AB75D2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like to see a 10% improvement i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n </w:t>
      </w:r>
      <w:r w:rsidR="00AB75D2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these scores at the end of the current 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school year as these students leave </w:t>
      </w:r>
      <w:r w:rsidR="0010408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Grade 3 and 4.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</w:t>
      </w:r>
    </w:p>
    <w:p w14:paraId="1EF3FAB8" w14:textId="10E628F5" w:rsidR="0070069D" w:rsidRDefault="0070069D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68BDF6C0" w14:textId="4C62C6F3" w:rsidR="0070069D" w:rsidRDefault="0070069D" w:rsidP="0070069D">
      <w:pPr>
        <w:spacing w:after="0" w:line="216" w:lineRule="auto"/>
        <w:contextualSpacing/>
        <w:jc w:val="center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>
        <w:rPr>
          <w:rFonts w:cstheme="minorHAnsi"/>
          <w:noProof/>
          <w:color w:val="000000" w:themeColor="text1"/>
          <w:kern w:val="24"/>
          <w:sz w:val="24"/>
          <w:szCs w:val="24"/>
          <w:lang w:eastAsia="en-CA"/>
        </w:rPr>
        <w:drawing>
          <wp:inline distT="0" distB="0" distL="0" distR="0" wp14:anchorId="047739B0" wp14:editId="6330CD01">
            <wp:extent cx="5172075" cy="26955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D6F5238" w14:textId="22B1EB90" w:rsidR="0070069D" w:rsidRDefault="0070069D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138B4377" w14:textId="748CFE68" w:rsidR="00C254F9" w:rsidRDefault="00A34D40" w:rsidP="00111A8B">
      <w:pPr>
        <w:spacing w:after="0" w:line="216" w:lineRule="auto"/>
        <w:contextualSpacing/>
        <w:jc w:val="center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>
        <w:rPr>
          <w:rFonts w:cstheme="minorHAnsi"/>
          <w:noProof/>
          <w:color w:val="000000" w:themeColor="text1"/>
          <w:kern w:val="24"/>
          <w:sz w:val="24"/>
          <w:szCs w:val="24"/>
          <w:lang w:eastAsia="en-CA"/>
        </w:rPr>
        <w:drawing>
          <wp:inline distT="0" distB="0" distL="0" distR="0" wp14:anchorId="6008DFE1" wp14:editId="1FCFB60A">
            <wp:extent cx="5143500" cy="30861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636667" w14:textId="77777777" w:rsidR="00111A8B" w:rsidRDefault="00111A8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5A785D10" w14:textId="77777777" w:rsidR="00111A8B" w:rsidRDefault="00111A8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7CF42C29" w14:textId="77777777" w:rsidR="00111A8B" w:rsidRDefault="00111A8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7E08BE91" w14:textId="77777777" w:rsidR="00111A8B" w:rsidRDefault="00111A8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46A2CAE8" w14:textId="77777777" w:rsidR="00111A8B" w:rsidRDefault="00111A8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4A3FB5B4" w14:textId="6FEF0A54" w:rsidR="00033B01" w:rsidRDefault="00033B01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lastRenderedPageBreak/>
        <w:t>A</w:t>
      </w:r>
      <w:r w:rsidR="00AB75D2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ccording to our FSA results for the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</w:t>
      </w:r>
      <w:r w:rsidR="00AB75D2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2020-2021 school year</w:t>
      </w:r>
      <w:r w:rsidR="00C254F9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,</w:t>
      </w:r>
      <w:r w:rsidR="0010408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our scores on numeracy at the G</w:t>
      </w:r>
      <w:r w:rsidR="00C254F9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rade 4 level </w:t>
      </w:r>
      <w:r w:rsidR="0010408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were as follows:</w:t>
      </w:r>
    </w:p>
    <w:p w14:paraId="4B1D9651" w14:textId="04FFA06B" w:rsidR="0010408D" w:rsidRDefault="0010408D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63CBBBB8" w14:textId="68F37224" w:rsidR="0010408D" w:rsidRDefault="0010408D" w:rsidP="0070199B">
      <w:pPr>
        <w:spacing w:after="0" w:line="216" w:lineRule="auto"/>
        <w:contextualSpacing/>
        <w:jc w:val="center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>
        <w:rPr>
          <w:rFonts w:cstheme="minorHAnsi"/>
          <w:noProof/>
          <w:color w:val="000000" w:themeColor="text1"/>
          <w:kern w:val="24"/>
          <w:sz w:val="24"/>
          <w:szCs w:val="24"/>
          <w:lang w:eastAsia="en-CA"/>
        </w:rPr>
        <w:drawing>
          <wp:inline distT="0" distB="0" distL="0" distR="0" wp14:anchorId="1E69FFB2" wp14:editId="57B1C144">
            <wp:extent cx="4105275" cy="25812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7BCD2C2" w14:textId="7BDDE9E9" w:rsidR="0010408D" w:rsidRDefault="0010408D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ab/>
      </w:r>
    </w:p>
    <w:p w14:paraId="66ADA37A" w14:textId="1E688E97" w:rsidR="00111A8B" w:rsidRDefault="00111A8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256A7E51" w14:textId="1463C9A3" w:rsidR="00111A8B" w:rsidRDefault="00111A8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7C00FC49" w14:textId="3C0A0D23" w:rsidR="00C254F9" w:rsidRDefault="00AB75D2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Upon review of the school level results and the district level results,</w:t>
      </w:r>
      <w:r w:rsidR="00C254F9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</w:t>
      </w:r>
      <w:r w:rsidR="00BC38EB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our students are 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comparable </w:t>
      </w:r>
      <w:proofErr w:type="gramStart"/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however,</w:t>
      </w:r>
      <w:proofErr w:type="gramEnd"/>
      <w:r w:rsidR="00BC38EB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we feel </w:t>
      </w:r>
      <w:r w:rsidR="00F24938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as</w:t>
      </w:r>
      <w:r w:rsidR="00BC38EB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school we can inc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rease these scores with targeted professional development</w:t>
      </w:r>
      <w:r w:rsidR="00BC38EB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.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 </w:t>
      </w:r>
      <w:r w:rsidR="00C254F9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According to teacher asses</w:t>
      </w:r>
      <w:r w:rsidR="00BC38EB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sment on progress reports, </w:t>
      </w:r>
      <w:r w:rsidR="00C254F9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62%</w:t>
      </w:r>
      <w:r w:rsidR="0010408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of our students from K-10 are p</w:t>
      </w:r>
      <w:r w:rsidR="00C254F9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roficient or extending in numeracy.</w:t>
      </w:r>
      <w:r w:rsidR="0070069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In three</w:t>
      </w:r>
      <w:r w:rsidR="00942A70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</w:t>
      </w: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years,</w:t>
      </w:r>
      <w:r w:rsidR="00942A70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we would like to see 75% of all students K-10 either prof</w:t>
      </w:r>
      <w:r w:rsidR="0070069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icient or extending in numeracy.</w:t>
      </w:r>
    </w:p>
    <w:p w14:paraId="2303C3AF" w14:textId="16DCE75E" w:rsidR="00BC38EB" w:rsidRDefault="00BC38EB" w:rsidP="00E72486">
      <w:pPr>
        <w:spacing w:after="0" w:line="216" w:lineRule="auto"/>
        <w:contextualSpacing/>
        <w:jc w:val="left"/>
        <w:rPr>
          <w:rFonts w:eastAsia="Times New Roman" w:cstheme="minorHAnsi"/>
          <w:lang w:eastAsia="en-CA"/>
        </w:rPr>
      </w:pPr>
    </w:p>
    <w:p w14:paraId="4C658B02" w14:textId="6C7F952D" w:rsidR="00BC38EB" w:rsidRDefault="00BC38E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>
        <w:rPr>
          <w:rFonts w:eastAsia="Times New Roman" w:cstheme="minorHAnsi"/>
          <w:lang w:eastAsia="en-CA"/>
        </w:rPr>
        <w:t xml:space="preserve">District </w:t>
      </w:r>
      <w:r w:rsidRPr="00ED1C28">
        <w:rPr>
          <w:rFonts w:eastAsia="Times New Roman" w:cstheme="minorHAnsi"/>
          <w:lang w:eastAsia="en-CA"/>
        </w:rPr>
        <w:t>Grades 4 – 7 FSA Data:</w:t>
      </w:r>
    </w:p>
    <w:p w14:paraId="5B0D2E03" w14:textId="71A230D6" w:rsidR="00BC38EB" w:rsidRDefault="00BC38E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3EB1F258" w14:textId="21233061" w:rsidR="00BC38EB" w:rsidRDefault="00111A8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 w:rsidRPr="00ED1C28">
        <w:rPr>
          <w:rFonts w:cstheme="minorHAnsi"/>
          <w:b/>
          <w:bCs/>
          <w:noProof/>
          <w:sz w:val="32"/>
          <w:szCs w:val="32"/>
          <w:lang w:eastAsia="en-CA"/>
        </w:rPr>
        <w:drawing>
          <wp:anchor distT="0" distB="0" distL="114300" distR="114300" simplePos="0" relativeHeight="251661312" behindDoc="0" locked="0" layoutInCell="1" allowOverlap="1" wp14:anchorId="3E09B5E6" wp14:editId="5E03C849">
            <wp:simplePos x="0" y="0"/>
            <wp:positionH relativeFrom="margin">
              <wp:align>center</wp:align>
            </wp:positionH>
            <wp:positionV relativeFrom="page">
              <wp:posOffset>5824220</wp:posOffset>
            </wp:positionV>
            <wp:extent cx="4429125" cy="2684780"/>
            <wp:effectExtent l="0" t="0" r="952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6C3B0" w14:textId="1AA40366" w:rsidR="00BC38EB" w:rsidRDefault="00BC38E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72309D84" w14:textId="6BBC6F62" w:rsidR="00BC38EB" w:rsidRDefault="00BC38E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0163ED01" w14:textId="509B1D9D" w:rsidR="00BC38EB" w:rsidRDefault="00BC38E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097E7CA2" w14:textId="548008B9" w:rsidR="00BC38EB" w:rsidRDefault="00BC38E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4EDB920C" w14:textId="587EC554" w:rsidR="00BC38EB" w:rsidRDefault="00BC38E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126501BB" w14:textId="6EAF339E" w:rsidR="00BC38EB" w:rsidRDefault="00BC38E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4A67DDC7" w14:textId="0DB3EB65" w:rsidR="00BC38EB" w:rsidRDefault="00BC38E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3028FAA6" w14:textId="31F56632" w:rsidR="00BC38EB" w:rsidRDefault="00BC38E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25D3F3A1" w14:textId="452464BB" w:rsidR="00BC38EB" w:rsidRDefault="00BC38E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69C3A6C1" w14:textId="11E12544" w:rsidR="00BC38EB" w:rsidRDefault="00BC38E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055F4B71" w14:textId="33DDE832" w:rsidR="00BC38EB" w:rsidRDefault="00BC38E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63219E34" w14:textId="1BBF1B24" w:rsidR="00BC38EB" w:rsidRDefault="00BC38EB" w:rsidP="00E72486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</w:p>
    <w:p w14:paraId="446D60E3" w14:textId="3D757EB0" w:rsidR="00EF4681" w:rsidRDefault="00EF4681" w:rsidP="0070069D">
      <w:pPr>
        <w:rPr>
          <w:rFonts w:cstheme="minorHAnsi"/>
          <w:sz w:val="32"/>
          <w:szCs w:val="32"/>
        </w:rPr>
      </w:pPr>
    </w:p>
    <w:p w14:paraId="5F89EC38" w14:textId="77777777" w:rsidR="0070069D" w:rsidRPr="00ED1C28" w:rsidRDefault="0070069D" w:rsidP="0070069D">
      <w:pPr>
        <w:rPr>
          <w:rFonts w:cstheme="minorHAnsi"/>
          <w:sz w:val="32"/>
          <w:szCs w:val="32"/>
        </w:rPr>
      </w:pPr>
    </w:p>
    <w:p w14:paraId="033935FC" w14:textId="77777777" w:rsidR="00912533" w:rsidRPr="00ED1C28" w:rsidRDefault="00912533" w:rsidP="0040122B">
      <w:pPr>
        <w:ind w:left="3"/>
        <w:rPr>
          <w:rFonts w:cstheme="minorHAnsi"/>
          <w:sz w:val="32"/>
          <w:szCs w:val="32"/>
        </w:rPr>
      </w:pPr>
    </w:p>
    <w:p w14:paraId="7D6788E3" w14:textId="549A1F39" w:rsidR="00111A8B" w:rsidRPr="00C275AD" w:rsidRDefault="00111A8B" w:rsidP="00111A8B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4"/>
          <w:szCs w:val="24"/>
          <w:lang w:val="en-US" w:eastAsia="en-CA"/>
        </w:rPr>
      </w:pPr>
      <w:r w:rsidRPr="00C275AD">
        <w:rPr>
          <w:rFonts w:cstheme="minorHAnsi"/>
          <w:b/>
          <w:color w:val="000000" w:themeColor="text1"/>
          <w:kern w:val="24"/>
          <w:sz w:val="24"/>
          <w:szCs w:val="24"/>
          <w:lang w:val="en-US" w:eastAsia="en-CA"/>
        </w:rPr>
        <w:lastRenderedPageBreak/>
        <w:t>Strategies:</w:t>
      </w:r>
    </w:p>
    <w:p w14:paraId="0A596B87" w14:textId="4751CE8D" w:rsidR="00111A8B" w:rsidRPr="00784CC0" w:rsidRDefault="00111A8B" w:rsidP="00784CC0">
      <w:pPr>
        <w:pStyle w:val="ListParagraph"/>
        <w:rPr>
          <w:rFonts w:cstheme="minorHAnsi"/>
          <w:color w:val="000000" w:themeColor="text1"/>
          <w:kern w:val="24"/>
          <w:sz w:val="24"/>
          <w:szCs w:val="24"/>
          <w:lang w:val="en-US"/>
        </w:rPr>
      </w:pPr>
      <w:r w:rsidRPr="00AB75D2">
        <w:rPr>
          <w:lang w:val="en-US"/>
        </w:rPr>
        <w:t xml:space="preserve">Our Grade 3 and </w:t>
      </w:r>
      <w:proofErr w:type="gramStart"/>
      <w:r w:rsidRPr="00AB75D2">
        <w:rPr>
          <w:lang w:val="en-US"/>
        </w:rPr>
        <w:t>4 numeracy</w:t>
      </w:r>
      <w:proofErr w:type="gramEnd"/>
      <w:r w:rsidRPr="00AB75D2">
        <w:rPr>
          <w:lang w:val="en-US"/>
        </w:rPr>
        <w:t xml:space="preserve"> team will be working together with the FESL numeracy f</w:t>
      </w:r>
      <w:r w:rsidR="00AB75D2" w:rsidRPr="00AB75D2">
        <w:rPr>
          <w:lang w:val="en-US"/>
        </w:rPr>
        <w:t xml:space="preserve">ocus group throughout the year.  </w:t>
      </w:r>
      <w:r w:rsidRPr="00AB75D2">
        <w:rPr>
          <w:lang w:val="en-US"/>
        </w:rPr>
        <w:t xml:space="preserve">This year we will be experimenting with the </w:t>
      </w:r>
      <w:proofErr w:type="spellStart"/>
      <w:r w:rsidRPr="00AB75D2">
        <w:rPr>
          <w:lang w:val="en-US"/>
        </w:rPr>
        <w:t>Mathology</w:t>
      </w:r>
      <w:proofErr w:type="spellEnd"/>
      <w:r w:rsidRPr="00AB75D2">
        <w:rPr>
          <w:lang w:val="en-US"/>
        </w:rPr>
        <w:t xml:space="preserve"> Program (Grade 3 and 4)</w:t>
      </w:r>
      <w:r w:rsidR="00AB75D2">
        <w:rPr>
          <w:lang w:val="en-US"/>
        </w:rPr>
        <w:t xml:space="preserve">.  </w:t>
      </w:r>
      <w:r w:rsidR="00AB75D2" w:rsidRPr="00C275AD">
        <w:rPr>
          <w:rFonts w:cstheme="minorHAnsi"/>
          <w:color w:val="000000" w:themeColor="text1"/>
          <w:kern w:val="24"/>
          <w:sz w:val="24"/>
          <w:szCs w:val="24"/>
          <w:lang w:val="en-US"/>
        </w:rPr>
        <w:t xml:space="preserve">This year we will be exploring the </w:t>
      </w:r>
      <w:proofErr w:type="spellStart"/>
      <w:r w:rsidR="00AB75D2" w:rsidRPr="00C275AD">
        <w:rPr>
          <w:rFonts w:cstheme="minorHAnsi"/>
          <w:color w:val="000000" w:themeColor="text1"/>
          <w:kern w:val="24"/>
          <w:sz w:val="24"/>
          <w:szCs w:val="24"/>
          <w:lang w:val="en-US"/>
        </w:rPr>
        <w:t>Mathology</w:t>
      </w:r>
      <w:proofErr w:type="spellEnd"/>
      <w:r w:rsidR="00AB75D2" w:rsidRPr="00C275AD">
        <w:rPr>
          <w:rFonts w:cstheme="minorHAnsi"/>
          <w:color w:val="000000" w:themeColor="text1"/>
          <w:kern w:val="24"/>
          <w:sz w:val="24"/>
          <w:szCs w:val="24"/>
          <w:lang w:val="en-US"/>
        </w:rPr>
        <w:t xml:space="preserve"> program for Grade 3 and 4 and will look to add in other grade levels if needed.</w:t>
      </w:r>
    </w:p>
    <w:p w14:paraId="75C2EC01" w14:textId="77777777" w:rsidR="00111A8B" w:rsidRPr="00C275AD" w:rsidRDefault="00111A8B" w:rsidP="00784CC0">
      <w:pPr>
        <w:pStyle w:val="ListParagraph"/>
        <w:rPr>
          <w:lang w:val="en-US"/>
        </w:rPr>
      </w:pPr>
      <w:r w:rsidRPr="00C275AD">
        <w:rPr>
          <w:lang w:val="en-US"/>
        </w:rPr>
        <w:t xml:space="preserve">Focused professional development </w:t>
      </w:r>
    </w:p>
    <w:p w14:paraId="6AC884D6" w14:textId="2E2B30E9" w:rsidR="00111A8B" w:rsidRPr="00C275AD" w:rsidRDefault="00111A8B" w:rsidP="00784CC0">
      <w:pPr>
        <w:pStyle w:val="ListParagraph"/>
        <w:numPr>
          <w:ilvl w:val="1"/>
          <w:numId w:val="4"/>
        </w:numPr>
        <w:rPr>
          <w:lang w:val="en-US"/>
        </w:rPr>
      </w:pPr>
      <w:r w:rsidRPr="00C275AD">
        <w:rPr>
          <w:lang w:val="en-US"/>
        </w:rPr>
        <w:t>Dot Galvin – Numeracy continuum K-6</w:t>
      </w:r>
    </w:p>
    <w:p w14:paraId="574E8125" w14:textId="06F87CAF" w:rsidR="00111A8B" w:rsidRPr="00784CC0" w:rsidRDefault="00111A8B" w:rsidP="00784CC0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  <w:kern w:val="24"/>
          <w:sz w:val="24"/>
          <w:szCs w:val="24"/>
          <w:lang w:val="en-US"/>
        </w:rPr>
      </w:pPr>
      <w:r w:rsidRPr="00784CC0">
        <w:rPr>
          <w:rFonts w:cstheme="minorHAnsi"/>
          <w:color w:val="000000" w:themeColor="text1"/>
          <w:kern w:val="24"/>
          <w:sz w:val="24"/>
          <w:szCs w:val="24"/>
          <w:lang w:val="en-US"/>
        </w:rPr>
        <w:t>Collaboration time for grade partnerships</w:t>
      </w:r>
    </w:p>
    <w:p w14:paraId="52EBDE52" w14:textId="78C9BB1A" w:rsidR="00111A8B" w:rsidRPr="00C275AD" w:rsidRDefault="00784CC0" w:rsidP="00784CC0">
      <w:pPr>
        <w:pStyle w:val="ListParagraph"/>
        <w:rPr>
          <w:lang w:val="en-US"/>
        </w:rPr>
      </w:pPr>
      <w:r>
        <w:rPr>
          <w:lang w:val="en-US"/>
        </w:rPr>
        <w:t>Development of a school-</w:t>
      </w:r>
      <w:r w:rsidR="009A0988" w:rsidRPr="00C275AD">
        <w:rPr>
          <w:lang w:val="en-US"/>
        </w:rPr>
        <w:t>wide common assessment K-6.</w:t>
      </w:r>
      <w:r w:rsidR="00111A8B" w:rsidRPr="00C275AD">
        <w:rPr>
          <w:lang w:val="en-US"/>
        </w:rPr>
        <w:t xml:space="preserve">  </w:t>
      </w:r>
    </w:p>
    <w:p w14:paraId="159DA472" w14:textId="7B00AEC6" w:rsidR="00120706" w:rsidRPr="00C275AD" w:rsidRDefault="00120706" w:rsidP="00805402">
      <w:pPr>
        <w:rPr>
          <w:rStyle w:val="Heading1Char"/>
          <w:sz w:val="24"/>
          <w:szCs w:val="24"/>
        </w:rPr>
      </w:pPr>
    </w:p>
    <w:p w14:paraId="5B7EAD76" w14:textId="35918513" w:rsidR="00173237" w:rsidRPr="00C275AD" w:rsidRDefault="00C275AD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4"/>
          <w:szCs w:val="24"/>
          <w:lang w:val="en-US" w:eastAsia="en-CA"/>
        </w:rPr>
      </w:pPr>
      <w:r w:rsidRPr="00C275AD">
        <w:rPr>
          <w:rFonts w:cstheme="minorHAnsi"/>
          <w:b/>
          <w:color w:val="000000" w:themeColor="text1"/>
          <w:kern w:val="24"/>
          <w:sz w:val="24"/>
          <w:szCs w:val="24"/>
          <w:lang w:val="en-US" w:eastAsia="en-CA"/>
        </w:rPr>
        <w:t>Action Plan:</w:t>
      </w:r>
    </w:p>
    <w:p w14:paraId="2AAAFE59" w14:textId="421C239E" w:rsidR="00C275AD" w:rsidRDefault="00C275AD" w:rsidP="00C275AD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 w:rsidRPr="00C275A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In the 2021-2022 school </w:t>
      </w:r>
      <w:r w:rsidR="00163C8D" w:rsidRPr="00C275A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year,</w:t>
      </w:r>
      <w:r w:rsidRPr="00C275A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 we will work as a staff on creating a climate of collaboration and teaching around numeracy. </w:t>
      </w:r>
    </w:p>
    <w:p w14:paraId="4C8F47FA" w14:textId="0C0DBE64" w:rsidR="00B03C09" w:rsidRDefault="00B03C09" w:rsidP="00C275AD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K-5 teachers will be involved in the SD5 Numeracy project that meets 6 days to collaborate around building students skills and confidence in numeracy.</w:t>
      </w:r>
    </w:p>
    <w:p w14:paraId="2C628084" w14:textId="0FBC19BA" w:rsidR="00B03C09" w:rsidRPr="00C275AD" w:rsidRDefault="00B03C09" w:rsidP="00C275AD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Our teachers will be using PLC time bi-monthly to develop lessons and assessments.</w:t>
      </w:r>
    </w:p>
    <w:p w14:paraId="58195234" w14:textId="01A4A5FE" w:rsidR="00C275AD" w:rsidRPr="00C275AD" w:rsidRDefault="00C275AD" w:rsidP="00C275AD">
      <w:pPr>
        <w:spacing w:after="0" w:line="216" w:lineRule="auto"/>
        <w:contextualSpacing/>
        <w:jc w:val="left"/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</w:pPr>
      <w:r w:rsidRPr="00C275AD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 xml:space="preserve">We will work on developing </w:t>
      </w:r>
      <w:r w:rsidR="00B03C09">
        <w:rPr>
          <w:rFonts w:cstheme="minorHAnsi"/>
          <w:color w:val="000000" w:themeColor="text1"/>
          <w:kern w:val="24"/>
          <w:sz w:val="24"/>
          <w:szCs w:val="24"/>
          <w:lang w:val="en-US" w:eastAsia="en-CA"/>
        </w:rPr>
        <w:t>a school wide common assessment.</w:t>
      </w:r>
    </w:p>
    <w:p w14:paraId="5F2F607B" w14:textId="63523241" w:rsidR="00C275AD" w:rsidRDefault="00C275AD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635EE3D8" w14:textId="4A57B574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21D8F0C5" w14:textId="1A996FF0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0B6810C6" w14:textId="32583374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7CBAB377" w14:textId="2183E3A1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5BC053A8" w14:textId="7C562866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1058BF21" w14:textId="37A90205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69BF5A06" w14:textId="6CED7AB5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6D896C7C" w14:textId="4C13BF44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2C9D7509" w14:textId="2F9FB23D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1C858B14" w14:textId="4A354B97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79A1CB13" w14:textId="4EF89555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3185BA6B" w14:textId="724D5ADB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1CA38869" w14:textId="48B4D991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5D0B7D12" w14:textId="1CC9FCE0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0BF6CEFB" w14:textId="166F301A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429522C5" w14:textId="6E63CAC9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05677E74" w14:textId="6E6ADE50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14DF896B" w14:textId="5EA78624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5BD1FCBA" w14:textId="21D949C2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27EF5751" w14:textId="23F58EFA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1E7ACA6A" w14:textId="67B403D2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00037BCA" w14:textId="20B0A876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343B7390" w14:textId="67CD218E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438D3CA9" w14:textId="1C5CE920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33684046" w14:textId="41769A7E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3B5C90AB" w14:textId="49A8C071" w:rsidR="00F0317A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p w14:paraId="0E4FE8DD" w14:textId="26909BD4" w:rsidR="00F0317A" w:rsidRDefault="00F0317A" w:rsidP="00F0317A">
      <w:pPr>
        <w:spacing w:after="0" w:line="216" w:lineRule="auto"/>
        <w:contextualSpacing/>
        <w:jc w:val="center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  <w:r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  <w:lastRenderedPageBreak/>
        <w:t>YEAR END SUMMARY</w:t>
      </w:r>
    </w:p>
    <w:p w14:paraId="1C7AECC3" w14:textId="77777777" w:rsidR="00F0317A" w:rsidRPr="00C275AD" w:rsidRDefault="00F0317A" w:rsidP="00C275AD">
      <w:pPr>
        <w:spacing w:after="0" w:line="216" w:lineRule="auto"/>
        <w:contextualSpacing/>
        <w:jc w:val="left"/>
        <w:rPr>
          <w:rFonts w:cstheme="minorHAnsi"/>
          <w:b/>
          <w:color w:val="000000" w:themeColor="text1"/>
          <w:kern w:val="24"/>
          <w:sz w:val="28"/>
          <w:szCs w:val="28"/>
          <w:lang w:val="en-US" w:eastAsia="en-CA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850"/>
        <w:gridCol w:w="1276"/>
        <w:gridCol w:w="1134"/>
      </w:tblGrid>
      <w:tr w:rsidR="00173237" w:rsidRPr="00ED1C28" w14:paraId="70575412" w14:textId="77777777" w:rsidTr="00F0317A">
        <w:tc>
          <w:tcPr>
            <w:tcW w:w="1696" w:type="dxa"/>
            <w:shd w:val="clear" w:color="auto" w:fill="D9D9D9" w:themeFill="background1" w:themeFillShade="D9"/>
          </w:tcPr>
          <w:p w14:paraId="25D17B8F" w14:textId="77777777" w:rsidR="00173237" w:rsidRPr="00F0317A" w:rsidRDefault="00173237" w:rsidP="00697094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F0317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Year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07DE1CE" w14:textId="77777777" w:rsidR="00173237" w:rsidRPr="00F0317A" w:rsidRDefault="00173237" w:rsidP="0069709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F0317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2021/2022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84C9945" w14:textId="77777777" w:rsidR="00173237" w:rsidRPr="00F0317A" w:rsidRDefault="00173237" w:rsidP="0069709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F0317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2022/2023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A0A23E" w14:textId="77777777" w:rsidR="00173237" w:rsidRPr="00F0317A" w:rsidRDefault="00173237" w:rsidP="0069709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F0317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2023/2024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7CE483" w14:textId="77777777" w:rsidR="00173237" w:rsidRPr="00F0317A" w:rsidRDefault="00173237" w:rsidP="0069709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F0317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2024/2025</w:t>
            </w:r>
          </w:p>
        </w:tc>
      </w:tr>
      <w:tr w:rsidR="00173237" w:rsidRPr="00ED1C28" w14:paraId="500FB390" w14:textId="77777777" w:rsidTr="00F0317A">
        <w:tc>
          <w:tcPr>
            <w:tcW w:w="1696" w:type="dxa"/>
            <w:shd w:val="clear" w:color="auto" w:fill="D9D9D9" w:themeFill="background1" w:themeFillShade="D9"/>
          </w:tcPr>
          <w:p w14:paraId="6141389D" w14:textId="77777777" w:rsidR="00173237" w:rsidRPr="00F0317A" w:rsidRDefault="00173237" w:rsidP="00697094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F0317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Targets</w:t>
            </w:r>
          </w:p>
        </w:tc>
        <w:tc>
          <w:tcPr>
            <w:tcW w:w="4395" w:type="dxa"/>
          </w:tcPr>
          <w:p w14:paraId="1E25C577" w14:textId="4DA9F330" w:rsidR="00173237" w:rsidRPr="00C275AD" w:rsidRDefault="00C275AD" w:rsidP="00C275AD">
            <w:pPr>
              <w:jc w:val="left"/>
              <w:rPr>
                <w:rFonts w:cstheme="minorHAnsi"/>
                <w:sz w:val="24"/>
                <w:szCs w:val="24"/>
              </w:rPr>
            </w:pPr>
            <w:r w:rsidRPr="00C275AD">
              <w:rPr>
                <w:rFonts w:cstheme="minorHAnsi"/>
                <w:sz w:val="24"/>
                <w:szCs w:val="24"/>
              </w:rPr>
              <w:t>Grade 3 and 4 students will show a 10% increase in numeracy scores compared to last year.</w:t>
            </w:r>
          </w:p>
        </w:tc>
        <w:tc>
          <w:tcPr>
            <w:tcW w:w="850" w:type="dxa"/>
          </w:tcPr>
          <w:p w14:paraId="2A152552" w14:textId="77777777" w:rsidR="00173237" w:rsidRPr="00ED1C28" w:rsidRDefault="00173237" w:rsidP="00697094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459262" w14:textId="77777777" w:rsidR="00173237" w:rsidRPr="00ED1C28" w:rsidRDefault="00173237" w:rsidP="00697094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0D7A0A" w14:textId="77777777" w:rsidR="00173237" w:rsidRPr="00ED1C28" w:rsidRDefault="00173237" w:rsidP="00697094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173237" w:rsidRPr="00ED1C28" w14:paraId="6FB16AA6" w14:textId="77777777" w:rsidTr="00F0317A">
        <w:tc>
          <w:tcPr>
            <w:tcW w:w="1696" w:type="dxa"/>
            <w:shd w:val="clear" w:color="auto" w:fill="D9D9D9" w:themeFill="background1" w:themeFillShade="D9"/>
          </w:tcPr>
          <w:p w14:paraId="056884BE" w14:textId="77777777" w:rsidR="00173237" w:rsidRPr="00F0317A" w:rsidRDefault="00173237" w:rsidP="00697094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F0317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Action Plan</w:t>
            </w:r>
          </w:p>
        </w:tc>
        <w:tc>
          <w:tcPr>
            <w:tcW w:w="4395" w:type="dxa"/>
          </w:tcPr>
          <w:p w14:paraId="3F6F4401" w14:textId="5EACC5CF" w:rsidR="00C275AD" w:rsidRPr="00C275AD" w:rsidRDefault="00C275AD" w:rsidP="00C275AD">
            <w:pPr>
              <w:spacing w:line="216" w:lineRule="auto"/>
              <w:contextualSpacing/>
              <w:jc w:val="left"/>
              <w:rPr>
                <w:rFonts w:cstheme="minorHAnsi"/>
                <w:color w:val="000000" w:themeColor="text1"/>
                <w:kern w:val="24"/>
                <w:sz w:val="24"/>
                <w:szCs w:val="24"/>
                <w:lang w:val="en-US" w:eastAsia="en-CA"/>
              </w:rPr>
            </w:pPr>
            <w:r w:rsidRPr="00C275AD">
              <w:rPr>
                <w:rFonts w:cstheme="minorHAnsi"/>
                <w:color w:val="000000" w:themeColor="text1"/>
                <w:kern w:val="24"/>
                <w:sz w:val="24"/>
                <w:szCs w:val="24"/>
                <w:lang w:eastAsia="en-CA"/>
              </w:rPr>
              <w:t>W</w:t>
            </w:r>
            <w:proofErr w:type="spellStart"/>
            <w:r w:rsidRPr="00C275AD">
              <w:rPr>
                <w:rFonts w:cstheme="minorHAnsi"/>
                <w:color w:val="000000" w:themeColor="text1"/>
                <w:kern w:val="24"/>
                <w:sz w:val="24"/>
                <w:szCs w:val="24"/>
                <w:lang w:val="en-US" w:eastAsia="en-CA"/>
              </w:rPr>
              <w:t>e</w:t>
            </w:r>
            <w:proofErr w:type="spellEnd"/>
            <w:r w:rsidRPr="00C275AD">
              <w:rPr>
                <w:rFonts w:cstheme="minorHAnsi"/>
                <w:color w:val="000000" w:themeColor="text1"/>
                <w:kern w:val="24"/>
                <w:sz w:val="24"/>
                <w:szCs w:val="24"/>
                <w:lang w:val="en-US" w:eastAsia="en-CA"/>
              </w:rPr>
              <w:t xml:space="preserve"> will work as a staff on creating a climate of collaboration and teaching around numeracy. </w:t>
            </w:r>
          </w:p>
          <w:p w14:paraId="2A90ADD6" w14:textId="4B7E6DFC" w:rsidR="00C275AD" w:rsidRPr="00C275AD" w:rsidRDefault="00C275AD" w:rsidP="00C275AD">
            <w:pPr>
              <w:spacing w:line="216" w:lineRule="auto"/>
              <w:contextualSpacing/>
              <w:jc w:val="left"/>
              <w:rPr>
                <w:rFonts w:cstheme="minorHAnsi"/>
                <w:color w:val="000000" w:themeColor="text1"/>
                <w:kern w:val="24"/>
                <w:sz w:val="24"/>
                <w:szCs w:val="24"/>
                <w:lang w:val="en-US" w:eastAsia="en-CA"/>
              </w:rPr>
            </w:pPr>
            <w:r w:rsidRPr="00C275AD">
              <w:rPr>
                <w:rFonts w:cstheme="minorHAnsi"/>
                <w:color w:val="000000" w:themeColor="text1"/>
                <w:kern w:val="24"/>
                <w:sz w:val="24"/>
                <w:szCs w:val="24"/>
                <w:lang w:val="en-US" w:eastAsia="en-CA"/>
              </w:rPr>
              <w:t xml:space="preserve">We will work on developing a school wide common assessment and will use Professional Development Days, the FESL Numeracy Group and </w:t>
            </w:r>
            <w:r w:rsidR="00163C8D" w:rsidRPr="00C275AD">
              <w:rPr>
                <w:rFonts w:cstheme="minorHAnsi"/>
                <w:color w:val="000000" w:themeColor="text1"/>
                <w:kern w:val="24"/>
                <w:sz w:val="24"/>
                <w:szCs w:val="24"/>
                <w:lang w:val="en-US" w:eastAsia="en-CA"/>
              </w:rPr>
              <w:t xml:space="preserve">scheduled time at staff meetings </w:t>
            </w:r>
            <w:r w:rsidR="00163C8D">
              <w:rPr>
                <w:rFonts w:cstheme="minorHAnsi"/>
                <w:color w:val="000000" w:themeColor="text1"/>
                <w:kern w:val="24"/>
                <w:sz w:val="24"/>
                <w:szCs w:val="24"/>
                <w:lang w:val="en-US" w:eastAsia="en-CA"/>
              </w:rPr>
              <w:t>to build this resource.</w:t>
            </w:r>
          </w:p>
          <w:p w14:paraId="15B90FF1" w14:textId="00AE729B" w:rsidR="00173237" w:rsidRPr="00C275AD" w:rsidRDefault="00173237" w:rsidP="00697094">
            <w:pPr>
              <w:jc w:val="lef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7A55CC0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E4278A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CDA14A" w14:textId="77777777" w:rsidR="00173237" w:rsidRPr="00ED1C28" w:rsidRDefault="00173237" w:rsidP="00697094">
            <w:pPr>
              <w:ind w:right="173"/>
              <w:rPr>
                <w:rFonts w:cstheme="minorHAnsi"/>
                <w:sz w:val="32"/>
                <w:szCs w:val="32"/>
              </w:rPr>
            </w:pPr>
          </w:p>
        </w:tc>
      </w:tr>
      <w:tr w:rsidR="00173237" w:rsidRPr="00ED1C28" w14:paraId="7AB8207F" w14:textId="77777777" w:rsidTr="00F0317A">
        <w:tc>
          <w:tcPr>
            <w:tcW w:w="1696" w:type="dxa"/>
            <w:shd w:val="clear" w:color="auto" w:fill="D9D9D9" w:themeFill="background1" w:themeFillShade="D9"/>
          </w:tcPr>
          <w:p w14:paraId="0455492F" w14:textId="77777777" w:rsidR="00173237" w:rsidRPr="00F0317A" w:rsidRDefault="00173237" w:rsidP="00697094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F0317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Lead</w:t>
            </w:r>
          </w:p>
        </w:tc>
        <w:tc>
          <w:tcPr>
            <w:tcW w:w="4395" w:type="dxa"/>
          </w:tcPr>
          <w:p w14:paraId="6D6D34E5" w14:textId="77777777" w:rsidR="00173237" w:rsidRPr="00C275AD" w:rsidRDefault="00C275AD" w:rsidP="00697094">
            <w:pPr>
              <w:jc w:val="left"/>
              <w:rPr>
                <w:rFonts w:cstheme="minorHAnsi"/>
                <w:sz w:val="24"/>
                <w:szCs w:val="24"/>
              </w:rPr>
            </w:pPr>
            <w:r w:rsidRPr="00C275AD">
              <w:rPr>
                <w:rFonts w:cstheme="minorHAnsi"/>
                <w:sz w:val="24"/>
                <w:szCs w:val="24"/>
              </w:rPr>
              <w:t>Erin Boehm</w:t>
            </w:r>
          </w:p>
          <w:p w14:paraId="7FD73642" w14:textId="77777777" w:rsidR="00C275AD" w:rsidRPr="00C275AD" w:rsidRDefault="00C275AD" w:rsidP="00697094">
            <w:pPr>
              <w:jc w:val="left"/>
              <w:rPr>
                <w:rFonts w:cstheme="minorHAnsi"/>
                <w:sz w:val="24"/>
                <w:szCs w:val="24"/>
              </w:rPr>
            </w:pPr>
            <w:r w:rsidRPr="00C275AD">
              <w:rPr>
                <w:rFonts w:cstheme="minorHAnsi"/>
                <w:sz w:val="24"/>
                <w:szCs w:val="24"/>
              </w:rPr>
              <w:t>Carlene Lochrie</w:t>
            </w:r>
          </w:p>
          <w:p w14:paraId="17760DF7" w14:textId="77777777" w:rsidR="00C275AD" w:rsidRPr="00C275AD" w:rsidRDefault="00C275AD" w:rsidP="00697094">
            <w:pPr>
              <w:jc w:val="left"/>
              <w:rPr>
                <w:rFonts w:cstheme="minorHAnsi"/>
                <w:sz w:val="24"/>
                <w:szCs w:val="24"/>
              </w:rPr>
            </w:pPr>
            <w:r w:rsidRPr="00C275AD">
              <w:rPr>
                <w:rFonts w:cstheme="minorHAnsi"/>
                <w:sz w:val="24"/>
                <w:szCs w:val="24"/>
              </w:rPr>
              <w:t>Courtney Freeman</w:t>
            </w:r>
          </w:p>
          <w:p w14:paraId="57C3752E" w14:textId="77777777" w:rsidR="00C275AD" w:rsidRPr="00C275AD" w:rsidRDefault="00C275AD" w:rsidP="00697094">
            <w:pPr>
              <w:jc w:val="left"/>
              <w:rPr>
                <w:rFonts w:cstheme="minorHAnsi"/>
                <w:sz w:val="24"/>
                <w:szCs w:val="24"/>
              </w:rPr>
            </w:pPr>
            <w:r w:rsidRPr="00C275AD">
              <w:rPr>
                <w:rFonts w:cstheme="minorHAnsi"/>
                <w:sz w:val="24"/>
                <w:szCs w:val="24"/>
              </w:rPr>
              <w:t>Rose Holmes</w:t>
            </w:r>
          </w:p>
          <w:p w14:paraId="56E552AF" w14:textId="73A1A024" w:rsidR="00C275AD" w:rsidRPr="00C275AD" w:rsidRDefault="00C275AD" w:rsidP="00697094">
            <w:pPr>
              <w:jc w:val="left"/>
              <w:rPr>
                <w:rFonts w:cstheme="minorHAnsi"/>
                <w:sz w:val="24"/>
                <w:szCs w:val="24"/>
              </w:rPr>
            </w:pPr>
            <w:r w:rsidRPr="00C275AD">
              <w:rPr>
                <w:rFonts w:cstheme="minorHAnsi"/>
                <w:sz w:val="24"/>
                <w:szCs w:val="24"/>
              </w:rPr>
              <w:t>Shelley Salanski</w:t>
            </w:r>
          </w:p>
        </w:tc>
        <w:tc>
          <w:tcPr>
            <w:tcW w:w="850" w:type="dxa"/>
          </w:tcPr>
          <w:p w14:paraId="36A1EFC6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783D7E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DBFE51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73237" w:rsidRPr="00ED1C28" w14:paraId="787240F4" w14:textId="77777777" w:rsidTr="00F0317A">
        <w:tc>
          <w:tcPr>
            <w:tcW w:w="1696" w:type="dxa"/>
            <w:shd w:val="clear" w:color="auto" w:fill="D9D9D9" w:themeFill="background1" w:themeFillShade="D9"/>
          </w:tcPr>
          <w:p w14:paraId="04C39563" w14:textId="77777777" w:rsidR="00173237" w:rsidRPr="00F0317A" w:rsidRDefault="00173237" w:rsidP="00697094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F0317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Start and Due Dates</w:t>
            </w:r>
          </w:p>
        </w:tc>
        <w:tc>
          <w:tcPr>
            <w:tcW w:w="4395" w:type="dxa"/>
          </w:tcPr>
          <w:p w14:paraId="5E46A425" w14:textId="77777777" w:rsidR="00173237" w:rsidRPr="00C275AD" w:rsidRDefault="00173237" w:rsidP="00697094">
            <w:pPr>
              <w:jc w:val="left"/>
              <w:rPr>
                <w:rFonts w:cstheme="minorHAnsi"/>
                <w:sz w:val="24"/>
                <w:szCs w:val="24"/>
              </w:rPr>
            </w:pPr>
            <w:r w:rsidRPr="00C275AD">
              <w:rPr>
                <w:rFonts w:cstheme="minorHAnsi"/>
                <w:sz w:val="24"/>
                <w:szCs w:val="24"/>
              </w:rPr>
              <w:t>2021/2022</w:t>
            </w:r>
          </w:p>
        </w:tc>
        <w:tc>
          <w:tcPr>
            <w:tcW w:w="850" w:type="dxa"/>
          </w:tcPr>
          <w:p w14:paraId="57140D96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5A0DC8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CF86C7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73237" w:rsidRPr="00ED1C28" w14:paraId="47A22C8E" w14:textId="77777777" w:rsidTr="00F0317A">
        <w:tc>
          <w:tcPr>
            <w:tcW w:w="1696" w:type="dxa"/>
            <w:shd w:val="clear" w:color="auto" w:fill="D9D9D9" w:themeFill="background1" w:themeFillShade="D9"/>
          </w:tcPr>
          <w:p w14:paraId="5232C77A" w14:textId="77777777" w:rsidR="00173237" w:rsidRPr="00F0317A" w:rsidRDefault="00173237" w:rsidP="00697094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F0317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Progress</w:t>
            </w:r>
          </w:p>
        </w:tc>
        <w:tc>
          <w:tcPr>
            <w:tcW w:w="4395" w:type="dxa"/>
          </w:tcPr>
          <w:p w14:paraId="011B7076" w14:textId="1A898D3A" w:rsidR="00173237" w:rsidRPr="00C275AD" w:rsidRDefault="00173237" w:rsidP="00697094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B609E1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A5BA42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E739D3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73237" w:rsidRPr="00ED1C28" w14:paraId="1BC59913" w14:textId="77777777" w:rsidTr="00F0317A">
        <w:tc>
          <w:tcPr>
            <w:tcW w:w="1696" w:type="dxa"/>
            <w:shd w:val="clear" w:color="auto" w:fill="D9D9D9" w:themeFill="background1" w:themeFillShade="D9"/>
          </w:tcPr>
          <w:p w14:paraId="33941E1A" w14:textId="77777777" w:rsidR="00173237" w:rsidRPr="00F0317A" w:rsidRDefault="00173237" w:rsidP="00697094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F0317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Results</w:t>
            </w:r>
          </w:p>
        </w:tc>
        <w:tc>
          <w:tcPr>
            <w:tcW w:w="4395" w:type="dxa"/>
          </w:tcPr>
          <w:p w14:paraId="54538F1B" w14:textId="29FB9F32" w:rsidR="00173237" w:rsidRPr="00C275AD" w:rsidRDefault="00173237" w:rsidP="00697094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A5D979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94C88F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DEC202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73237" w:rsidRPr="00ED1C28" w14:paraId="2F12F3F0" w14:textId="77777777" w:rsidTr="00F0317A">
        <w:tc>
          <w:tcPr>
            <w:tcW w:w="1696" w:type="dxa"/>
            <w:shd w:val="clear" w:color="auto" w:fill="D9D9D9" w:themeFill="background1" w:themeFillShade="D9"/>
          </w:tcPr>
          <w:p w14:paraId="068E3949" w14:textId="77777777" w:rsidR="00173237" w:rsidRPr="00F0317A" w:rsidRDefault="00173237" w:rsidP="00697094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F0317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Budget Resources</w:t>
            </w:r>
          </w:p>
          <w:p w14:paraId="19384EA8" w14:textId="77777777" w:rsidR="00173237" w:rsidRPr="00F0317A" w:rsidRDefault="00173237" w:rsidP="00697094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4395" w:type="dxa"/>
          </w:tcPr>
          <w:p w14:paraId="202E5228" w14:textId="77777777" w:rsidR="00173237" w:rsidRPr="00C275AD" w:rsidRDefault="00173237" w:rsidP="00697094">
            <w:pPr>
              <w:jc w:val="left"/>
              <w:rPr>
                <w:rFonts w:eastAsia="Times New Roman" w:cstheme="minorHAnsi"/>
                <w:sz w:val="24"/>
                <w:szCs w:val="24"/>
              </w:rPr>
            </w:pPr>
            <w:r w:rsidRPr="00C275AD">
              <w:rPr>
                <w:rFonts w:cstheme="minorHAnsi"/>
                <w:sz w:val="24"/>
                <w:szCs w:val="24"/>
              </w:rPr>
              <w:t>Support for in-service and resources</w:t>
            </w:r>
            <w:r w:rsidRPr="00C275A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C129B2E" w14:textId="77777777" w:rsidR="00173237" w:rsidRPr="00C275AD" w:rsidRDefault="00173237" w:rsidP="00697094">
            <w:pPr>
              <w:jc w:val="left"/>
              <w:rPr>
                <w:rFonts w:eastAsia="Times New Roman" w:cstheme="minorHAnsi"/>
                <w:sz w:val="24"/>
                <w:szCs w:val="24"/>
              </w:rPr>
            </w:pPr>
          </w:p>
          <w:p w14:paraId="60D7F499" w14:textId="77777777" w:rsidR="00173237" w:rsidRPr="00C275AD" w:rsidRDefault="00173237" w:rsidP="00697094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CF76F5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138BFD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EE53D6" w14:textId="77777777" w:rsidR="00173237" w:rsidRPr="00ED1C28" w:rsidRDefault="00173237" w:rsidP="00697094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7CC2F4C2" w14:textId="77777777" w:rsidR="0008632B" w:rsidRPr="00ED1C28" w:rsidRDefault="0008632B">
      <w:pPr>
        <w:rPr>
          <w:rFonts w:cstheme="minorHAnsi"/>
          <w:sz w:val="32"/>
          <w:szCs w:val="32"/>
        </w:rPr>
      </w:pPr>
    </w:p>
    <w:sectPr w:rsidR="0008632B" w:rsidRPr="00ED1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FE1"/>
    <w:multiLevelType w:val="hybridMultilevel"/>
    <w:tmpl w:val="C49E6482"/>
    <w:lvl w:ilvl="0" w:tplc="5CAEF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CF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A1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8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48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C1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C0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5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AC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CD1ED6"/>
    <w:multiLevelType w:val="hybridMultilevel"/>
    <w:tmpl w:val="E746EF72"/>
    <w:lvl w:ilvl="0" w:tplc="8CD670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0448"/>
    <w:multiLevelType w:val="hybridMultilevel"/>
    <w:tmpl w:val="BB7E4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141F0"/>
    <w:multiLevelType w:val="hybridMultilevel"/>
    <w:tmpl w:val="162ABE02"/>
    <w:lvl w:ilvl="0" w:tplc="0054D2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E0C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37"/>
    <w:rsid w:val="00033B01"/>
    <w:rsid w:val="00066AD9"/>
    <w:rsid w:val="0008632B"/>
    <w:rsid w:val="0010408D"/>
    <w:rsid w:val="00104F6B"/>
    <w:rsid w:val="00111A8B"/>
    <w:rsid w:val="00120706"/>
    <w:rsid w:val="00135119"/>
    <w:rsid w:val="00163C8D"/>
    <w:rsid w:val="00173237"/>
    <w:rsid w:val="00177426"/>
    <w:rsid w:val="00244116"/>
    <w:rsid w:val="0024749E"/>
    <w:rsid w:val="0025686E"/>
    <w:rsid w:val="00260418"/>
    <w:rsid w:val="0029083A"/>
    <w:rsid w:val="002C0681"/>
    <w:rsid w:val="00324578"/>
    <w:rsid w:val="003271FA"/>
    <w:rsid w:val="003329B8"/>
    <w:rsid w:val="00382190"/>
    <w:rsid w:val="00394CB9"/>
    <w:rsid w:val="00397E1C"/>
    <w:rsid w:val="0040122B"/>
    <w:rsid w:val="00402837"/>
    <w:rsid w:val="004041F5"/>
    <w:rsid w:val="004D1706"/>
    <w:rsid w:val="005148F8"/>
    <w:rsid w:val="005A115B"/>
    <w:rsid w:val="005C2764"/>
    <w:rsid w:val="005D4B62"/>
    <w:rsid w:val="005F3B6F"/>
    <w:rsid w:val="006113C2"/>
    <w:rsid w:val="00621016"/>
    <w:rsid w:val="00626BE8"/>
    <w:rsid w:val="00644E7F"/>
    <w:rsid w:val="006C2E25"/>
    <w:rsid w:val="0070069D"/>
    <w:rsid w:val="0070199B"/>
    <w:rsid w:val="007479B0"/>
    <w:rsid w:val="00774332"/>
    <w:rsid w:val="00784CC0"/>
    <w:rsid w:val="007861A5"/>
    <w:rsid w:val="007E0DE9"/>
    <w:rsid w:val="007E2B89"/>
    <w:rsid w:val="007E6F3B"/>
    <w:rsid w:val="007E7825"/>
    <w:rsid w:val="00805402"/>
    <w:rsid w:val="00806611"/>
    <w:rsid w:val="00822C97"/>
    <w:rsid w:val="008821C1"/>
    <w:rsid w:val="0090256E"/>
    <w:rsid w:val="00912533"/>
    <w:rsid w:val="00942A70"/>
    <w:rsid w:val="00947AAE"/>
    <w:rsid w:val="009A0988"/>
    <w:rsid w:val="009D0F4D"/>
    <w:rsid w:val="00A34D40"/>
    <w:rsid w:val="00A600B3"/>
    <w:rsid w:val="00A82967"/>
    <w:rsid w:val="00A8582B"/>
    <w:rsid w:val="00AB75D2"/>
    <w:rsid w:val="00B03C09"/>
    <w:rsid w:val="00B95231"/>
    <w:rsid w:val="00BA31D9"/>
    <w:rsid w:val="00BB6E6A"/>
    <w:rsid w:val="00BC38EB"/>
    <w:rsid w:val="00C254F9"/>
    <w:rsid w:val="00C275AD"/>
    <w:rsid w:val="00C615AD"/>
    <w:rsid w:val="00D02BB3"/>
    <w:rsid w:val="00D459A3"/>
    <w:rsid w:val="00E14589"/>
    <w:rsid w:val="00E466C4"/>
    <w:rsid w:val="00E52E8D"/>
    <w:rsid w:val="00E72486"/>
    <w:rsid w:val="00E747A0"/>
    <w:rsid w:val="00ED1C28"/>
    <w:rsid w:val="00EE7353"/>
    <w:rsid w:val="00EF2E96"/>
    <w:rsid w:val="00EF4681"/>
    <w:rsid w:val="00F0317A"/>
    <w:rsid w:val="00F03BB2"/>
    <w:rsid w:val="00F24938"/>
    <w:rsid w:val="00F50986"/>
    <w:rsid w:val="00F772B9"/>
    <w:rsid w:val="00FD3886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B649"/>
  <w15:chartTrackingRefBased/>
  <w15:docId w15:val="{D86118D9-BA63-4063-9B2D-A51305FB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37"/>
    <w:pPr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1C28"/>
    <w:pPr>
      <w:keepNext/>
      <w:keepLines/>
      <w:spacing w:before="400" w:after="40" w:line="240" w:lineRule="auto"/>
      <w:outlineLvl w:val="0"/>
    </w:pPr>
    <w:rPr>
      <w:rFonts w:eastAsiaTheme="majorEastAsia" w:cstheme="minorHAnsi"/>
      <w:b/>
      <w:bCs/>
      <w:color w:val="000000" w:themeColor="text1"/>
      <w:kern w:val="24"/>
      <w:sz w:val="36"/>
      <w:szCs w:val="36"/>
      <w:lang w:val="en-US"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3237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3237"/>
    <w:pPr>
      <w:keepNext/>
      <w:keepLines/>
      <w:framePr w:hSpace="180" w:wrap="around" w:vAnchor="text" w:hAnchor="margin" w:y="69"/>
      <w:spacing w:before="40" w:after="0" w:line="240" w:lineRule="auto"/>
      <w:jc w:val="left"/>
      <w:outlineLvl w:val="2"/>
    </w:pPr>
    <w:rPr>
      <w:rFonts w:asciiTheme="majorHAnsi" w:eastAsia="Times New Roman" w:hAnsiTheme="majorHAnsi" w:cstheme="majorBidi"/>
      <w:b/>
      <w:color w:val="2F5496" w:themeColor="accent1" w:themeShade="BF"/>
      <w:szCs w:val="28"/>
      <w:lang w:val="en-US"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2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C28"/>
    <w:rPr>
      <w:rFonts w:eastAsiaTheme="majorEastAsia" w:cstheme="minorHAnsi"/>
      <w:b/>
      <w:bCs/>
      <w:color w:val="000000"/>
      <w:kern w:val="24"/>
      <w:sz w:val="36"/>
      <w:szCs w:val="36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732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73237"/>
    <w:rPr>
      <w:rFonts w:asciiTheme="majorHAnsi" w:eastAsia="Times New Roman" w:hAnsiTheme="majorHAnsi" w:cstheme="majorBidi"/>
      <w:b/>
      <w:color w:val="2F5496" w:themeColor="accent1" w:themeShade="BF"/>
      <w:szCs w:val="28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7323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oSpacing">
    <w:name w:val="No Spacing"/>
    <w:link w:val="NoSpacingChar"/>
    <w:uiPriority w:val="1"/>
    <w:qFormat/>
    <w:rsid w:val="0017323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1732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784CC0"/>
    <w:pPr>
      <w:numPr>
        <w:numId w:val="4"/>
      </w:numPr>
      <w:spacing w:after="0" w:line="216" w:lineRule="auto"/>
      <w:contextualSpacing/>
      <w:jc w:val="left"/>
    </w:pPr>
    <w:rPr>
      <w:rFonts w:eastAsia="Times New Roman"/>
      <w:lang w:eastAsia="en-CA"/>
    </w:rPr>
  </w:style>
  <w:style w:type="character" w:styleId="Strong">
    <w:name w:val="Strong"/>
    <w:basedOn w:val="DefaultParagraphFont"/>
    <w:uiPriority w:val="22"/>
    <w:qFormat/>
    <w:rsid w:val="00173237"/>
    <w:rPr>
      <w:b/>
      <w:bCs/>
    </w:rPr>
  </w:style>
  <w:style w:type="table" w:styleId="GridTable2-Accent1">
    <w:name w:val="Grid Table 2 Accent 1"/>
    <w:basedOn w:val="TableNormal"/>
    <w:uiPriority w:val="47"/>
    <w:rsid w:val="0017323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73237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394C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Summative Progress</a:t>
            </a:r>
            <a:r>
              <a:rPr lang="en-CA" baseline="0"/>
              <a:t> Report Results for Numeracy</a:t>
            </a:r>
            <a:endParaRPr lang="en-C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Emerging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Kindergarten</c:v>
                </c:pt>
                <c:pt idx="1">
                  <c:v>Grade 1</c:v>
                </c:pt>
                <c:pt idx="2">
                  <c:v>Grade 2</c:v>
                </c:pt>
                <c:pt idx="3">
                  <c:v>Grade 3</c:v>
                </c:pt>
                <c:pt idx="4">
                  <c:v>Grade 4</c:v>
                </c:pt>
                <c:pt idx="5">
                  <c:v>Grade 5</c:v>
                </c:pt>
                <c:pt idx="6">
                  <c:v>Grade 6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7C-474D-B9A3-3C299BA3C1D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Developing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Kindergarten</c:v>
                </c:pt>
                <c:pt idx="1">
                  <c:v>Grade 1</c:v>
                </c:pt>
                <c:pt idx="2">
                  <c:v>Grade 2</c:v>
                </c:pt>
                <c:pt idx="3">
                  <c:v>Grade 3</c:v>
                </c:pt>
                <c:pt idx="4">
                  <c:v>Grade 4</c:v>
                </c:pt>
                <c:pt idx="5">
                  <c:v>Grade 5</c:v>
                </c:pt>
                <c:pt idx="6">
                  <c:v>Grade 6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2</c:v>
                </c:pt>
                <c:pt idx="1">
                  <c:v>11</c:v>
                </c:pt>
                <c:pt idx="2">
                  <c:v>10</c:v>
                </c:pt>
                <c:pt idx="3">
                  <c:v>6</c:v>
                </c:pt>
                <c:pt idx="4">
                  <c:v>7</c:v>
                </c:pt>
                <c:pt idx="5">
                  <c:v>12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7C-474D-B9A3-3C299BA3C1D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Proficient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Kindergarten</c:v>
                </c:pt>
                <c:pt idx="1">
                  <c:v>Grade 1</c:v>
                </c:pt>
                <c:pt idx="2">
                  <c:v>Grade 2</c:v>
                </c:pt>
                <c:pt idx="3">
                  <c:v>Grade 3</c:v>
                </c:pt>
                <c:pt idx="4">
                  <c:v>Grade 4</c:v>
                </c:pt>
                <c:pt idx="5">
                  <c:v>Grade 5</c:v>
                </c:pt>
                <c:pt idx="6">
                  <c:v>Grade 6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13</c:v>
                </c:pt>
                <c:pt idx="1">
                  <c:v>10</c:v>
                </c:pt>
                <c:pt idx="2">
                  <c:v>10</c:v>
                </c:pt>
                <c:pt idx="3">
                  <c:v>16</c:v>
                </c:pt>
                <c:pt idx="4">
                  <c:v>9</c:v>
                </c:pt>
                <c:pt idx="5">
                  <c:v>6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7C-474D-B9A3-3C299BA3C1D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Extending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Kindergarten</c:v>
                </c:pt>
                <c:pt idx="1">
                  <c:v>Grade 1</c:v>
                </c:pt>
                <c:pt idx="2">
                  <c:v>Grade 2</c:v>
                </c:pt>
                <c:pt idx="3">
                  <c:v>Grade 3</c:v>
                </c:pt>
                <c:pt idx="4">
                  <c:v>Grade 4</c:v>
                </c:pt>
                <c:pt idx="5">
                  <c:v>Grade 5</c:v>
                </c:pt>
                <c:pt idx="6">
                  <c:v>Grade 6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7C-474D-B9A3-3C299BA3C1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1921407"/>
        <c:axId val="1931930143"/>
      </c:barChart>
      <c:catAx>
        <c:axId val="1931921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1930143"/>
        <c:crosses val="autoZero"/>
        <c:auto val="1"/>
        <c:lblAlgn val="ctr"/>
        <c:lblOffset val="100"/>
        <c:noMultiLvlLbl val="0"/>
      </c:catAx>
      <c:valAx>
        <c:axId val="19319301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1921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Grade 2</a:t>
            </a:r>
            <a:r>
              <a:rPr lang="en-CA" baseline="0"/>
              <a:t> and 3 Aboriginal Student Results</a:t>
            </a:r>
            <a:endParaRPr lang="en-C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Emerging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All Students Grade 2 and 3</c:v>
                </c:pt>
                <c:pt idx="1">
                  <c:v>AbEd Students Grade 2 and 3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4-4A51-8DFF-58CF1C1FAC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Developing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All Students Grade 2 and 3</c:v>
                </c:pt>
                <c:pt idx="1">
                  <c:v>AbEd Students Grade 2 and 3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34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4-4A51-8DFF-58CF1C1FACE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Proficient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All Students Grade 2 and 3</c:v>
                </c:pt>
                <c:pt idx="1">
                  <c:v>AbEd Students Grade 2 and 3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55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C4-4A51-8DFF-58CF1C1FACE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Extending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All Students Grade 2 and 3</c:v>
                </c:pt>
                <c:pt idx="1">
                  <c:v>AbEd Students Grade 2 and 3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C4-4A51-8DFF-58CF1C1FA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1919327"/>
        <c:axId val="1931912671"/>
      </c:barChart>
      <c:catAx>
        <c:axId val="1931919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1912671"/>
        <c:crosses val="autoZero"/>
        <c:auto val="1"/>
        <c:lblAlgn val="ctr"/>
        <c:lblOffset val="100"/>
        <c:noMultiLvlLbl val="0"/>
      </c:catAx>
      <c:valAx>
        <c:axId val="1931912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1919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FSA Grade 4 Numeracy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Emerging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JESS</c:v>
                </c:pt>
                <c:pt idx="1">
                  <c:v>District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23.3</c:v>
                </c:pt>
                <c:pt idx="1">
                  <c:v>33.1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35-46EB-A9BD-669EC2AFD7E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On Track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JESS</c:v>
                </c:pt>
                <c:pt idx="1">
                  <c:v>District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63.3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35-46EB-A9BD-669EC2AFD7E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Extending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JESS</c:v>
                </c:pt>
                <c:pt idx="1">
                  <c:v>District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13.3</c:v>
                </c:pt>
                <c:pt idx="1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35-46EB-A9BD-669EC2AFD7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990367"/>
        <c:axId val="125992447"/>
      </c:barChart>
      <c:catAx>
        <c:axId val="125990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992447"/>
        <c:crosses val="autoZero"/>
        <c:auto val="1"/>
        <c:lblAlgn val="ctr"/>
        <c:lblOffset val="100"/>
        <c:noMultiLvlLbl val="0"/>
      </c:catAx>
      <c:valAx>
        <c:axId val="125992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990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36C3609179B4EB5A4DCE864C5AB10" ma:contentTypeVersion="1" ma:contentTypeDescription="Create a new document." ma:contentTypeScope="" ma:versionID="43e9ede528ea6cf6b283f5a8cf070a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7B1718-0FE1-4330-8A9E-9E2980D52002}"/>
</file>

<file path=customXml/itemProps2.xml><?xml version="1.0" encoding="utf-8"?>
<ds:datastoreItem xmlns:ds="http://schemas.openxmlformats.org/officeDocument/2006/customXml" ds:itemID="{23B63640-B900-4AE8-8481-350A604409EC}"/>
</file>

<file path=customXml/itemProps3.xml><?xml version="1.0" encoding="utf-8"?>
<ds:datastoreItem xmlns:ds="http://schemas.openxmlformats.org/officeDocument/2006/customXml" ds:itemID="{04AC25C5-31D6-473D-AF73-DBB6CC5C0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Yardley</dc:creator>
  <cp:keywords/>
  <dc:description/>
  <cp:lastModifiedBy>Erin Boehm</cp:lastModifiedBy>
  <cp:revision>12</cp:revision>
  <dcterms:created xsi:type="dcterms:W3CDTF">2021-10-08T15:03:00Z</dcterms:created>
  <dcterms:modified xsi:type="dcterms:W3CDTF">2021-10-29T15:14:00Z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0x010100D7E36C3609179B4EB5A4DCE864C5AB10</vt:lpwstr>
  </property>
</Properties>
</file>